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GSGV 15 — Begriffsbestimmung</w:t>
      </w:r>
    </w:p>
    <w:p>
      <w:r>
        <w:rPr>
          <w:color w:val="555555"/>
          <w:sz w:val="18"/>
        </w:rPr>
        <w:t xml:space="preserve">Verordnung über das Verbot der Einfuhr, des Inverkehrbringens und des Bereitstellens von Himmelslaternen auf dem Markt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(1) Eine Himmelslaterne im Sinne dieser Verordnung ist ein unbemannter ballonartiger Flugleuchtkörper,</w:t>
      </w:r>
    </w:p>
    <w:p>
      <w:pPr>
        <w:ind w:left="420"/>
      </w:pPr>
      <w:r>
        <w:t xml:space="preserve">1. bei dem der Auftrieb durch eine offene Feuerquelle erzeugt wird und</w:t>
      </w:r>
    </w:p>
    <w:p>
      <w:pPr>
        <w:ind w:left="420"/>
      </w:pPr>
      <w:r>
        <w:t xml:space="preserve">2. der frei und ohne Kontrollmöglichkeit fliegt.</w:t>
      </w:r>
    </w:p>
    <w:p>
      <w:r>
        <w:t xml:space="preserve">Der Brennstoff als Feuerquelle zur Lufterwärmung kann fest, flüssig oder gasförmig sein.</w:t>
      </w:r>
    </w:p>
    <w:p>
      <w:r>
        <w:t xml:space="preserve">(2) Andere Bezeichnungen einer Himmelslaterne, wie zum Beispiel Wunschlaterne oder Glücksballon, lassen § 3 dieser Verordnung unberührt.</w:t>
      </w:r>
    </w:p>
    <w:p>
      <w:r>
        <w:rPr>
          <w:color w:val="555555"/>
          <w:sz w:val="17"/>
        </w:rPr>
        <w:t xml:space="preserve">Zitiervorschlag: § 2 GSGV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