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GSGV 14 2016 — Inkrafttreten, Außerkrafttreten</w:t>
      </w:r>
    </w:p>
    <w:p>
      <w:r>
        <w:rPr>
          <w:color w:val="555555"/>
          <w:sz w:val="18"/>
        </w:rPr>
        <w:t xml:space="preserve">Druckgeräteverordnung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§ 12 tritt am 1. Juni 2015 in Kraft.</w:t>
      </w:r>
    </w:p>
    <w:p>
      <w:r>
        <w:t xml:space="preserve">(2) Im Übrigen tritt diese Verordnung am 19. Juli 2016 in Kraft. Gleichzeitig tritt die Druckgeräteverordnung vom 27. September 2002 (BGBl. I S. 3777, 3806), die zuletzt durch Artikel 24 des Gesetzes vom 8. November 2011 (BGBl. I S. 2178) geändert worden ist, außer Kraft.</w:t>
      </w:r>
    </w:p>
    <w:p>
      <w:r>
        <w:rPr>
          <w:color w:val="555555"/>
          <w:sz w:val="17"/>
        </w:rPr>
        <w:t xml:space="preserve">Zitiervorschlag: § 24 GSGV 14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https://recht.nulegal.eu/gesetze/GSGV%2014%202016/24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