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GSGV 14 2016 — Begriffsbestimmungen</w:t>
      </w:r>
    </w:p>
    <w:p>
      <w:r>
        <w:rPr>
          <w:color w:val="555555"/>
          <w:sz w:val="18"/>
        </w:rPr>
        <w:t xml:space="preserve">Druckgeräteverordnung</w:t>
      </w:r>
    </w:p>
    <w:p>
      <w:r>
        <w:rPr>
          <w:color w:val="555555"/>
          <w:sz w:val="18"/>
        </w:rPr>
        <w:t xml:space="preserve">Stand: 30.05.2026 (konsolidierte Textfassung, kein amtliches Inkrafttretensdatum)</w:t>
      </w:r>
    </w:p>
    <w:p>
      <w:r>
        <w:t xml:space="preserve">Im Sinne dieser Verordnung ist oder sind</w:t>
      </w:r>
    </w:p>
    <w:p>
      <w:pPr>
        <w:ind w:left="420"/>
      </w:pPr>
      <w:r>
        <w:t xml:space="preserve">1. Baugruppen: mehrere Druckgeräte, die von einem Hersteller zu einer zusammenhängenden funktionalen Einheit verbunden werden;</w:t>
      </w:r>
    </w:p>
    <w:p>
      <w:pPr>
        <w:ind w:left="420"/>
      </w:pPr>
      <w:r>
        <w:t xml:space="preserve">2. Druck: der auf den Atmosphärendruck bezogene Druck, das heißt ein Überdruck; demnach wird ein Druck im Vakuumbereich durch einen Negativwert ausgedrückt;</w:t>
      </w:r>
    </w:p>
    <w:p>
      <w:pPr>
        <w:ind w:left="420"/>
      </w:pPr>
      <w:r>
        <w:t xml:space="preserve">3. Druckgeräte: Behälter, Rohrleitungen, Ausrüstungsteile mit Sicherheitsfunktion und druckhaltende Ausrüstungsteile, gegebenenfalls einschließlich an drucktragenden Teilen angebrachter Elemente wie Flansche, Stutzen, Kupplungen, Trageelemente, Hebeösen;</w:t>
      </w:r>
    </w:p>
    <w:p>
      <w:pPr>
        <w:ind w:left="420"/>
      </w:pPr>
      <w:r>
        <w:t xml:space="preserve">4. europäische Werkstoffzulassung: ein technisches Dokument, in dem die Merkmale der Werkstoffe festgelegt sind, die für eine wiederholte Verwendung zur Herstellung von Druckgeräten bestimmt sind und die nicht in einer harmonisierten Norm geregelt werden;</w:t>
      </w:r>
    </w:p>
    <w:p>
      <w:pPr>
        <w:ind w:left="420"/>
      </w:pPr>
      <w:r>
        <w:t xml:space="preserve">5. harmonisierte Norm: eine harmonisierte Norm im Sinne des Artikels 2 Nummer 1 Buchstabe c der Verordnung (EU) Nr. 1025/2012;</w:t>
      </w:r>
    </w:p>
    <w:p>
      <w:pPr>
        <w:ind w:left="420"/>
      </w:pPr>
      <w:r>
        <w:t xml:space="preserve">6. Hersteller: jede natürliche oder juristische Person, die ein Druckgerät oder eine Baugruppe herstellt oder entwickeln oder herstellen lässt und dieses Druckgerät oder diese Baugruppe unter ihrem eigenen Namen oder ihrer eigenen Handelsmarke vermarktet oder für eigene Zwecke verwendet;</w:t>
      </w:r>
    </w:p>
    <w:p>
      <w:pPr>
        <w:ind w:left="420"/>
      </w:pPr>
      <w:r>
        <w:t xml:space="preserve">7. Inbetriebnahme: die erstmalige Verwendung eines Druckgeräts oder einer Baugruppe durch seinen oder ihren Nutzer;</w:t>
      </w:r>
    </w:p>
    <w:p>
      <w:pPr>
        <w:ind w:left="420"/>
      </w:pPr>
      <w:r>
        <w:t xml:space="preserve">8. maximal zulässiger Druck (PS): der vom Hersteller angegebene höchste Druck, für den das Druckgerät ausgelegt ist und der für eine vom Hersteller ausgewählte Stelle festgelegt ist, wobei es sich entweder um die Anschlussstelle der Ausrüstungsteile mit Sicherheitsfunktion oder um den höchsten Punkt des Druckgeräts oder, falls diese Stellen nicht geeignet sind, um eine andere angegebene Stelle handelt;</w:t>
      </w:r>
    </w:p>
    <w:p>
      <w:pPr>
        <w:ind w:left="420"/>
      </w:pPr>
      <w:r>
        <w:t xml:space="preserve">9. technische Spezifikation: ein Dokument, in dem die technischen Anforderungen vorgeschrieben sind, denen ein Druckgerät oder eine Baugruppe genügen muss;</w:t>
      </w:r>
    </w:p>
    <w:p>
      <w:pPr>
        <w:ind w:left="420"/>
      </w:pPr>
      <w:r>
        <w:t xml:space="preserve">10. EU-Konformitätserklärung: eine Erklärung gemäß Artikel 17 der Richtlinie 2014/68/EU in der Fassung vom 9. Oktober 2024;</w:t>
      </w:r>
    </w:p>
    <w:p>
      <w:pPr>
        <w:ind w:left="420"/>
      </w:pPr>
      <w:r>
        <w:t xml:space="preserve">11. krisenrelevante Waren: krisenrelevante Waren im Sinne von Artikel 3 Nummer 6 der Verordnung (EU) 2024/2747;</w:t>
      </w:r>
    </w:p>
    <w:p>
      <w:pPr>
        <w:ind w:left="420"/>
      </w:pPr>
      <w:r>
        <w:t xml:space="preserve">12. Notfallmodus für den Binnenmarkt: der Notfallmodus für den Binnenmarkt im Sinne von Artikel 3 Nummer 3 der Verordnung (EU) 2024/2747.</w:t>
      </w:r>
    </w:p>
    <w:p>
      <w:r>
        <w:t xml:space="preserve">Wenn auf Artikel 4 oder 13 der Richtlinie 2014/68/EU in der Fassung vom 9. Oktober 2024 verwiesen wird, sind die Begriffsbestimmungen des Artikels 2 der Richtlinie 2014/68/EU in der Fassung vom 9. Oktober 2024 anzuwenden. Im Übrigen sind die Begriffsbestimmungen des Produktsicherheitsgesetzes anzuwenden.</w:t>
      </w:r>
    </w:p>
    <w:p>
      <w:r>
        <w:rPr>
          <w:color w:val="555555"/>
          <w:sz w:val="17"/>
        </w:rPr>
        <w:t xml:space="preserve">Zitiervorschlag: § 2 GSGV 14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