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14 GSGV 14 2016 — Europäische Werkstoffzulassung</w:t>
      </w:r>
    </w:p>
    <w:p>
      <w:r>
        <w:rPr>
          <w:color w:val="555555"/>
          <w:sz w:val="18"/>
        </w:rPr>
        <w:t xml:space="preserve">Druckgeräteverordnung</w:t>
      </w:r>
    </w:p>
    <w:p>
      <w:r>
        <w:rPr>
          <w:color w:val="555555"/>
          <w:sz w:val="18"/>
        </w:rPr>
        <w:t xml:space="preserve">Stand: 30.05.2026 (konsolidierte Textfassung, kein amtliches Inkrafttretensdatum)</w:t>
      </w:r>
    </w:p>
    <w:p>
      <w:r>
        <w:t xml:space="preserve">Für Werkstoffe, für die eine europäische Werkstoffzulassung gemäß § 2 Satz 1 Nummer 4 beantragt wird, ist das Verfahren nach Artikel 15 der Richtlinie 2014/68/EU in der Fassung vom 9. Oktober 2024 anzuwenden.</w:t>
      </w:r>
    </w:p>
    <w:p>
      <w:r>
        <w:rPr>
          <w:color w:val="555555"/>
          <w:sz w:val="17"/>
        </w:rPr>
        <w:t xml:space="preserve">Zitiervorschlag: § 14 GSGV 14 2016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https://recht.nulegal.eu/gesetze/GSGV%2014%202016/14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