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GSGV 14 2016 — Konformitätsbewertungsverfahren</w:t>
      </w:r>
    </w:p>
    <w:p>
      <w:r>
        <w:rPr>
          <w:color w:val="555555"/>
          <w:sz w:val="18"/>
        </w:rPr>
        <w:t xml:space="preserve">Druckgeräteverordnung</w:t>
      </w:r>
    </w:p>
    <w:p>
      <w:r>
        <w:rPr>
          <w:color w:val="555555"/>
          <w:sz w:val="18"/>
        </w:rPr>
        <w:t xml:space="preserve">Stand: 30.05.2026 (konsolidierte Textfassung, kein amtliches Inkrafttretensdatum)</w:t>
      </w:r>
    </w:p>
    <w:p>
      <w:r>
        <w:t xml:space="preserve">(1) Für die in Artikel 4 Absatz 1 der Richtlinie 2014/68/EU in der Fassung vom 9. Oktober 2024 aufgeführten Druckgeräte sind die Konformitätsbewertungsverfahren nach Artikel 14 Absatz 1 bis 5 in Verbindung mit Anhang III der Richtlinie 2014/68/EU in der Fassung vom 9. Oktober 2024 entsprechend der Kategorie, in die sie nach § 12 eingestuft worden sind, durchzuführen.</w:t>
      </w:r>
    </w:p>
    <w:p>
      <w:r>
        <w:t xml:space="preserve">(2) Für die in Artikel 4 Absatz 2 der Richtlinie 2014/68/EU in der Fassung vom 9. Oktober 2024 aufgeführten Baugruppen ist das Konformitätsbewertungsverfahren nach Artikel 14 Absatz 6 in Verbindung mit Anhang III der Richtlinie 2014/68/EU in der Fassung vom 9. Oktober 2024 durchzuführen.</w:t>
      </w:r>
    </w:p>
    <w:p>
      <w:r>
        <w:t xml:space="preserve">(3) Die Marktüberwachungsbehörden können in Einzelfällen gestatten, dass für Versuchszwecke einzelne Druckgeräte und Baugruppen auf dem Markt bereitgestellt oder in Betrieb genommen werden, für die kein Konformitätsbewertungsverfahren durchgeführt wurde.</w:t>
      </w:r>
    </w:p>
    <w:p>
      <w:r>
        <w:t xml:space="preserve">(4) Die Aufzeichnungen und der Schriftwechsel im Zusammenhang mit den Konformitätsbewertungsverfahren sind in deutscher Sprache oder in einer von der Konformitätsbewertungsstelle anerkannten Sprache abzufassen.</w:t>
      </w:r>
    </w:p>
    <w:p>
      <w:r>
        <w:rPr>
          <w:color w:val="555555"/>
          <w:sz w:val="17"/>
        </w:rPr>
        <w:t xml:space="preserve">Zitiervorschlag: § 13 GSGV 14 2016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https://recht.nulegal.eu/gesetze/GSGV%2014%202016/13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