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GSGV 14 2016 — Einstufung von Druckgeräten</w:t>
      </w:r>
    </w:p>
    <w:p>
      <w:r>
        <w:rPr>
          <w:color w:val="555555"/>
          <w:sz w:val="18"/>
        </w:rPr>
        <w:t xml:space="preserve">Druckgeräteverordnung</w:t>
      </w:r>
    </w:p>
    <w:p>
      <w:r>
        <w:rPr>
          <w:color w:val="555555"/>
          <w:sz w:val="18"/>
        </w:rPr>
        <w:t xml:space="preserve">Stand: 30.05.2026 (konsolidierte Textfassung, kein amtliches Inkrafttretensdatum)</w:t>
      </w:r>
    </w:p>
    <w:p>
      <w:r>
        <w:t xml:space="preserve">Die in Artikel 4 Absatz 1 der Richtlinie 2014/68/EU in der Fassung vom 9. Oktober 2024 aufgeführten Druckgeräte sind vom Hersteller nach zunehmendem Gefahrenpotential in Kategorien einzustufen. Die Einstufung erfolgt nach Artikel 13 der Richtlinie 2014/68/EU in der Fassung vom 9. Oktober 2024.</w:t>
      </w:r>
    </w:p>
    <w:p>
      <w:r>
        <w:rPr>
          <w:color w:val="555555"/>
          <w:sz w:val="17"/>
        </w:rPr>
        <w:t xml:space="preserve">Zitiervorschlag: § 12 GSGV 14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https://recht.nulegal.eu/gesetze/GSGV%2014%202016/12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