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GSGV 14 2016 — Angabe der Wirtschaftsakteure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Wirtschaftsakteure nennen den Marktüberwachungsbehörden auf deren Verlangen die Wirtschaftsakteure,</w:t>
      </w:r>
    </w:p>
    <w:p>
      <w:pPr>
        <w:ind w:left="420"/>
      </w:pPr>
      <w:r>
        <w:t xml:space="preserve">1. von denen sie ein Druckgerät oder eine Baugruppe bezogen haben und</w:t>
      </w:r>
    </w:p>
    <w:p>
      <w:pPr>
        <w:ind w:left="420"/>
      </w:pPr>
      <w:r>
        <w:t xml:space="preserve">2. an die sie ein Druckgerät oder eine Baugruppe abgegeben haben.</w:t>
      </w:r>
    </w:p>
    <w:p>
      <w:r>
        <w:t xml:space="preserve">(2) Die Wirtschaftsakteure müssen die Informationen nach Absatz 1 nach dem Bezug des Druckgeräts oder der Baugruppe sowie nach der Abgabe des Druckgeräts oder der Baugruppe jeweils zehn Jahre lang vorlegen können.</w:t>
      </w:r>
    </w:p>
    <w:p>
      <w:r>
        <w:rPr>
          <w:color w:val="555555"/>
          <w:sz w:val="17"/>
        </w:rPr>
        <w:t xml:space="preserve">Zitiervorschlag: § 11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