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GSGV 14 2016 — Anwendungsbereich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Diese Verordnung ist auf neue Druckgeräte und Baugruppen mit einem maximal zulässigen Druck von über 0,5 bar, die auf dem Markt bereitgestellt, ausgestellt oder erstmals verwendet werden, anzuwenden.</w:t>
      </w:r>
    </w:p>
    <w:p>
      <w:r>
        <w:t xml:space="preserve">(2) Diese Verordnung ist nicht auf Produkte anzuwenden, die in Artikel 1 Absatz 2 der Richtlinie 2014/68/EU in der Fassung vom 9. Oktober 2024 aufgeführt sind.</w:t>
      </w:r>
    </w:p>
    <w:p>
      <w:r>
        <w:rPr>
          <w:color w:val="555555"/>
          <w:sz w:val="17"/>
        </w:rPr>
        <w:t xml:space="preserve">Zitiervorschlag: § 1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