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GSGV 13 — Ordnungswidrigkeiten</w:t>
      </w:r>
    </w:p>
    <w:p>
      <w:r>
        <w:rPr>
          <w:color w:val="555555"/>
          <w:sz w:val="18"/>
        </w:rPr>
        <w:t xml:space="preserve">Dreizehnte Verordnung zum Produktsicherheitsgesetz (Aerosolpackungsverordnung)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Ordnungswidrig im Sinne des § 28 Absatz 1 Nummer 7 Buchstabe a des Produktsicherheitsgesetzes handelt, wer vorsätzlich oder fahrlässig entgegen § 4 Nr. 2 eine Aerosolpackung auf dem Markt bereitstellt.</w:t>
      </w:r>
    </w:p>
    <w:p>
      <w:r>
        <w:rPr>
          <w:color w:val="555555"/>
          <w:sz w:val="17"/>
        </w:rPr>
        <w:t xml:space="preserve">Zitiervorschlag: § 6 GSGV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