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GSGV 13 — Kennzeichnungen</w:t>
      </w:r>
    </w:p>
    <w:p>
      <w:r>
        <w:rPr>
          <w:color w:val="555555"/>
          <w:sz w:val="18"/>
        </w:rPr>
        <w:t xml:space="preserve">Dreizehnte Verordnung zum Produktsicherheitsgesetz (Aerosolpackungsverordnung)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4 Abs. 1 Nr. 1 erforderliche Konformitätskennzeichnung muss auf jeder Aerosolpackung deutlich sichtbar angebracht sein.</w:t>
      </w:r>
    </w:p>
    <w:p>
      <w:r>
        <w:t xml:space="preserve">(2) Die Konformitätskennzeichnung besteht aus dem Zeichen "3" (umgekehrtes Epsilon) nach Artikel 3 der Richtlinie 75/324/EWG.</w:t>
      </w:r>
    </w:p>
    <w:p>
      <w:r>
        <w:t xml:space="preserve">(3) Es dürfen auf der Aerosolpackung keine Zeichen oder Aufschriften verwendet werden, die zu Verwechslungen mit dem Zeichen "3" führen können.</w:t>
      </w:r>
    </w:p>
    <w:p>
      <w:r>
        <w:rPr>
          <w:color w:val="555555"/>
          <w:sz w:val="17"/>
        </w:rPr>
        <w:t xml:space="preserve">Zitiervorschlag: § 5 GSGV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