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GSGV 13 — Anwendungsbereich</w:t>
      </w:r>
    </w:p>
    <w:p>
      <w:r>
        <w:rPr>
          <w:color w:val="555555"/>
          <w:sz w:val="18"/>
        </w:rPr>
        <w:t xml:space="preserve">Dreizehnte Verordnung zum Produktsicherheitsgesetz (Aerosolpackungsverordnung)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Bereitstellung auf dem Markt von neuen Aerosolpackungen, deren Behälter ein Gesamtfassungsvermögen von 50 Milliliter oder mehr aufweist.</w:t>
      </w:r>
    </w:p>
    <w:p>
      <w:r>
        <w:t xml:space="preserve">(2) Diese Verordnung gilt nicht für</w:t>
      </w:r>
    </w:p>
    <w:p>
      <w:pPr>
        <w:ind w:left="420"/>
      </w:pPr>
      <w:r>
        <w:t xml:space="preserve">1. Aerosolpackungen mit Metallbehältern, deren Gesamtfassungsvermögen 1 000 Milliliter übersteigt,</w:t>
      </w:r>
    </w:p>
    <w:p>
      <w:pPr>
        <w:ind w:left="420"/>
      </w:pPr>
      <w:r>
        <w:t xml:space="preserve">2. Aerosolpackungen mit Glasbehältern, deren Gesamtfassungsvermögen</w:t>
      </w:r>
    </w:p>
    <w:p>
      <w:pPr>
        <w:ind w:left="780"/>
      </w:pPr>
      <w:r>
        <w:t xml:space="preserve">a) 220 Milliliter übersteigt, sofern der Behälter mit einem dauerhaften Schutzüberzug versehen ist,</w:t>
      </w:r>
    </w:p>
    <w:p>
      <w:pPr>
        <w:ind w:left="780"/>
      </w:pPr>
      <w:r>
        <w:t xml:space="preserve">b) 150 Milliliter übersteigt, sofern der Behälter aus ungeschütztem Glas besteht,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3. Aerosolpackungen mit Kunststoffbehältern, deren Gesamtfassungsvermögen</w:t>
      </w:r>
    </w:p>
    <w:p>
      <w:pPr>
        <w:ind w:left="780"/>
      </w:pPr>
      <w:r>
        <w:t xml:space="preserve">a) 220 Milliliter übersteigt, sofern der Behälter beim Bruch keine Splitter bilden kann,</w:t>
      </w:r>
    </w:p>
    <w:p>
      <w:pPr>
        <w:ind w:left="780"/>
      </w:pPr>
      <w:r>
        <w:t xml:space="preserve">b) 150 Milliliter übersteigt, sofern der Behälter beim Bruch Splitter bilden kann.</w:t>
      </w:r>
    </w:p>
    <w:p>
      <w:r>
        <w:rPr>
          <w:color w:val="555555"/>
          <w:sz w:val="17"/>
        </w:rPr>
        <w:t xml:space="preserve">Zitiervorschlag: § 1 GSGV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