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GSGV 11 2016 — Besondere Kennzeichnungs- und Informationspflichten des Einführers</w:t>
      </w:r>
    </w:p>
    <w:p>
      <w:r>
        <w:rPr>
          <w:color w:val="555555"/>
          <w:sz w:val="18"/>
        </w:rPr>
        <w:t xml:space="preserve">Explosionsschutzprodukteverordnung</w:t>
      </w:r>
    </w:p>
    <w:p>
      <w:r>
        <w:rPr>
          <w:color w:val="555555"/>
          <w:sz w:val="18"/>
        </w:rPr>
        <w:t xml:space="preserve">Stand: 10.06.2019 (konsolidierte Textfassung, kein amtliches Inkrafttretensdatum)</w:t>
      </w:r>
    </w:p>
    <w:p>
      <w:r>
        <w:t xml:space="preserve">(1) Der Einführer hat beim Inverkehrbringen seinen Namen, seinen eingetragenen Handelsnamen oder seine eingetragene Handelsmarke sowie seine Postanschrift auf dem Produkt anzubringen. Falls dies aufgrund der Größe oder der Art des Produkts nicht möglich ist, müssen diese Kontaktdaten auf der Verpackung oder in den dem Produkt beigefügten Unterlagen angegeben werden. Bei der Postanschrift handelt es sich um die Anschrift einer zentralen Stelle, unter der der Einführer kontaktiert werden kann. Die Kontaktdaten sind in einer Sprache zu verfassen, die von den Endnutzern und den Marktüberwachungsbehörden leicht verstanden werden kann.</w:t>
      </w:r>
    </w:p>
    <w:p>
      <w:r>
        <w:t xml:space="preserve">(2) Der Einführer hat ab dem Inverkehrbringen des Produkts für die Dauer von zehn Jahren eine Kopie der EU-Konformitätserklärung oder der Konformitätsbescheinigung für die Marktüberwachungsbehörden bereitzuhalten und dafür zu sorgen, dass er auf deren Verlangen die technischen Unterlagen vorlegen kann.</w:t>
      </w:r>
    </w:p>
    <w:p>
      <w:r>
        <w:t xml:space="preserve">(3) Der Einführer ist verpflichtet, der Marktüberwachungsbehörde auf deren Verlangen alle Informationen und Unterlagen auf Papier oder elektronisch zur Verfügung zu stellen, die für den Nachweis der Konformität des Produkts mit den Anforderungen dieser Verordnung erforderlich sind. Die Informationen und Unterlagen müssen in deutscher Sprache oder in einer Sprache, die von der Marktüberwachungsbehörde leicht verstanden werden kann, abgefasst sein. Der Einführer arbeitet mit der Marktüberwachungsbehörde auf deren Verlangen bei allen Maßnahmen zur Abwendung von Risiken zusammen, die mit den Produkten verbunden sind, die er in den Verkehr gebracht hat.</w:t>
      </w:r>
    </w:p>
    <w:p>
      <w:r>
        <w:rPr>
          <w:color w:val="555555"/>
          <w:sz w:val="17"/>
        </w:rPr>
        <w:t xml:space="preserve">Zitiervorschlag: § 9 GSGV 11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https://recht.nulegal.eu/gesetze/GSGV%2011%202016/9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