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GSGV 11 2016 — Konformitätsvermutung</w:t>
      </w:r>
    </w:p>
    <w:p>
      <w:r>
        <w:rPr>
          <w:color w:val="555555"/>
          <w:sz w:val="18"/>
        </w:rPr>
        <w:t xml:space="preserve">Explosionsschutzprodukteverordnung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Bei Produkten, die harmonisierten Normen oder Teilen dieser Normen entsprechen, deren Fundstellen im Amtsblatt der Europäischen Union veröffentlicht worden sind, wird vermutet, dass sie die wesentlichen Gesundheits- und Sicherheitsanforderungen nach Anhang II der Richtlinie 2014/34/EU in der Fassung vom 9. Oktober 2024 erfüllen, soweit diese von den betreffenden Normen oder von Teilen dieser Normen abgedeckt sind.</w:t>
      </w:r>
    </w:p>
    <w:p>
      <w:r>
        <w:rPr>
          <w:color w:val="555555"/>
          <w:sz w:val="17"/>
        </w:rPr>
        <w:t xml:space="preserve">Zitiervorschlag: § 4 GSGV 11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https://recht.nulegal.eu/gesetze/GSGV%2011%202016/4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