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GSGV 11 2016 — Übergangsvorschriften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Produkte, die die Anforderungen der Richtlinie 94/9/EG in der Fassung vom 25. Oktober 2012, die durch die Richtlinie 2014/34/EU aufgehoben worden ist, erfüllen und bis zum 20. April 2016 in den Verkehr gebracht wurden, dürfen auf dem Markt bereitgestellt und in Betrieb genommen werden.</w:t>
      </w:r>
    </w:p>
    <w:p>
      <w:r>
        <w:t xml:space="preserve">(2) Bescheinigungen, die von notifizierten Stellen gemäß der Richtlinie 94/9/EG ausgestellt worden sind, bleiben im Rahmen dieser Verordnung gültig.</w:t>
      </w:r>
    </w:p>
    <w:p>
      <w:r>
        <w:rPr>
          <w:color w:val="555555"/>
          <w:sz w:val="17"/>
        </w:rPr>
        <w:t xml:space="preserve">Zitiervorschlag: § 21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