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GSGV 11 2016 — Begriffsbestimmungen</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Im Sinne dieser Verordnung ist oder sind</w:t>
      </w:r>
    </w:p>
    <w:p>
      <w:pPr>
        <w:ind w:left="420"/>
      </w:pPr>
      <w:r>
        <w:t xml:space="preserve">1. bestimmungsgemäße Verwendung: die Verwendung</w:t>
      </w:r>
    </w:p>
    <w:p>
      <w:pPr>
        <w:ind w:left="780"/>
      </w:pPr>
      <w:r>
        <w:t xml:space="preserve">a) eines Geräts entsprechend der vom Hersteller angegebenen Gerätegruppe und Gerätekategorie oder</w:t>
      </w:r>
    </w:p>
    <w:p>
      <w:pPr>
        <w:ind w:left="780"/>
      </w:pPr>
      <w:r>
        <w:t xml:space="preserve">b) eines Schutzsystems, einer Vorrichtung oder einer Komponente unter Beachtung aller Herstellerangaben, die für den sicheren Betrieb notwendig sind,</w:t>
      </w:r>
    </w:p>
    <w:p>
      <w:pPr>
        <w:ind w:left="420"/>
      </w:pPr>
      <w:r>
        <w:t xml:space="preserve">2. EU-Konformitätserklärung: eine Erklärung gemäß Artikel 14 der Richtlinie 2014/34/EU in der Fassung vom 9. Oktober 2024,</w:t>
      </w:r>
    </w:p>
    <w:p>
      <w:pPr>
        <w:ind w:left="420"/>
      </w:pPr>
      <w:r>
        <w:t xml:space="preserve">3. explosionsfähige Atmosphäre: ein Gemisch aus Luft und brennbaren Gasen, Dämpfen, Nebeln oder Stäuben unter atmosphärischen Bedingungen, in dem sich der Verbrennungsvorgang nach erfolgter Entzündung auf das gesamte unverbrannte Gemisch überträgt,</w:t>
      </w:r>
    </w:p>
    <w:p>
      <w:pPr>
        <w:ind w:left="420"/>
      </w:pPr>
      <w:r>
        <w:t xml:space="preserve">4. explosionsgefährdeter Bereich: ein Bereich, in dem die Atmosphäre aufgrund der örtlichen und betrieblichen Verhältnisse explosionsfähig werden kann,</w:t>
      </w:r>
    </w:p>
    <w:p>
      <w:pPr>
        <w:ind w:left="420"/>
      </w:pPr>
      <w:r>
        <w:t xml:space="preserve">5. Geräte: Maschinen, Betriebsmittel, stationäre oder ortsbewegliche Vorrichtungen, Steuerungs- und Ausrüstungsteile sowie Warn- und Vorbeugungssysteme, die</w:t>
      </w:r>
    </w:p>
    <w:p>
      <w:pPr>
        <w:ind w:left="780"/>
      </w:pPr>
      <w:r>
        <w:t xml:space="preserve">a) einzeln oder kombiniert zur Erzeugung, Übertragung, Speicherung, Messung, Regelung oder Umwandlung von Energien oder zur Verarbeitung von Werkstoffen bestimmt sind und</w:t>
      </w:r>
    </w:p>
    <w:p>
      <w:pPr>
        <w:ind w:left="780"/>
      </w:pPr>
      <w:r>
        <w:t xml:space="preserve">b) eigene potentielle Zündquellen aufweisen und dadurch eine Explosion verursachen können,</w:t>
      </w:r>
    </w:p>
    <w:p>
      <w:pPr>
        <w:ind w:left="420"/>
      </w:pPr>
      <w:r>
        <w:t xml:space="preserve">6. Gerätegruppe I: Geräte, die zur Verwendung in Untertagebetrieben von Bergwerken bestimmt sind oder zur Verwendung in deren Übertageanlagen, die durch Grubengas oder brennbare Stäube gefährdet werden können, bestimmt sind; die Gerätegruppe I umfasst die in Anhang I der Richtlinie 2014/34/EU in der Fassung vom 9. Oktober 2024 genannten Gerätekategorien M1 und M2,</w:t>
      </w:r>
    </w:p>
    <w:p>
      <w:pPr>
        <w:ind w:left="420"/>
      </w:pPr>
      <w:r>
        <w:t xml:space="preserve">7. Gerätegruppe II: Geräte, die zur Verwendung in allen Bereichen, die durch eine explosionsfähige Atmosphäre gefährdet werden können, bestimmt sind, mit Ausnahme der in Nummer 6 genannten Bereiche; die Gerätegruppe II umfasst die in Anhang I der Richtlinie 2014/34/EU in der Fassung vom 9. Oktober 2024 genannten Gerätekategorien 1, 2 und 3,</w:t>
      </w:r>
    </w:p>
    <w:p>
      <w:pPr>
        <w:ind w:left="420"/>
      </w:pPr>
      <w:r>
        <w:t xml:space="preserve">8. Gerätekategorie: eine Kategorie, in die Geräte innerhalb jeder Gerätegruppe entsprechend dem erforderlichen Maß an Sicherheit, das gewährleistet werden muss, eingestuft werden,</w:t>
      </w:r>
    </w:p>
    <w:p>
      <w:pPr>
        <w:ind w:left="420"/>
      </w:pPr>
      <w:r>
        <w:t xml:space="preserve">9. harmonisierte Norm: eine harmonisierte Norm im Sinne des Artikels 2 Nummer 1 Buchstabe c der Verordnung (EU) Nr. 1025/2012,</w:t>
      </w:r>
    </w:p>
    <w:p>
      <w:pPr>
        <w:ind w:left="420"/>
      </w:pPr>
      <w:r>
        <w:t xml:space="preserve">10. Hersteller: jede natürliche oder juristische Person, die ein Produkt herstellt oder entwickeln oder herstellen lässt und dieses Produkt unter ihrem eigenen Namen oder ihrer eigenen Handelsmarke vermarktet oder für ihre eigenen Zwecke verwendet,</w:t>
      </w:r>
    </w:p>
    <w:p>
      <w:pPr>
        <w:ind w:left="420"/>
      </w:pPr>
      <w:r>
        <w:t xml:space="preserve">11. Komponenten: solche Bauteile, die für den sicheren Betrieb von Geräten und Schutzsystemen erforderlich sind, ohne jedoch selbst eine autonome Funktion zu erfüllen,</w:t>
      </w:r>
    </w:p>
    <w:p>
      <w:pPr>
        <w:ind w:left="420"/>
      </w:pPr>
      <w:r>
        <w:t xml:space="preserve">12. Konformitätsbescheinigung: eine Bescheinigung nach Artikel 13 Absatz 3 Satz 2 der Richtlinie 2014/34/EU in der Fassung vom 9. Oktober 2024,</w:t>
      </w:r>
    </w:p>
    <w:p>
      <w:pPr>
        <w:ind w:left="420"/>
      </w:pPr>
      <w:r>
        <w:t xml:space="preserve">13. Schutzsysteme: alle Vorrichtungen mit Ausnahme der Komponenten von Geräten, die anlaufende Explosionen umgehend stoppen oder den von einer Explosion betroffenen Bereich begrenzen sollen und als Systeme mit autonomer Funktion gesondert auf dem Markt bereitgestellt werden,</w:t>
      </w:r>
    </w:p>
    <w:p>
      <w:pPr>
        <w:ind w:left="420"/>
      </w:pPr>
      <w:r>
        <w:t xml:space="preserve">14. technische Spezifikation: ein Dokument, in dem die technischen Anforderungen vorgeschrieben sind, denen ein Produkt genügen muss,</w:t>
      </w:r>
    </w:p>
    <w:p>
      <w:pPr>
        <w:ind w:left="420"/>
      </w:pPr>
      <w:r>
        <w:t xml:space="preserve">15. krisenrelevante Waren: krisenrelevante Waren im Sinne von Artikel 3 Nummer 6 der Verordnung (EU) 2024/2747,</w:t>
      </w:r>
    </w:p>
    <w:p>
      <w:pPr>
        <w:ind w:left="420"/>
      </w:pPr>
      <w:r>
        <w:t xml:space="preserve">16. Notfallmodus für den Binnenmarkt: der Notfallmodus für den Binnenmarkt im Sinne von Artikel 3 Nummer 3 der Verordnung (EU) 2024/2747.</w:t>
      </w:r>
    </w:p>
    <w:p>
      <w:r>
        <w:t xml:space="preserve">Im Übrigen sind die Begriffsbestimmungen des § 2 des Produktsicherheitsgesetzes vom 27. Juli 2021 (BGBl. I S. 3146) anzuwenden.</w:t>
      </w:r>
    </w:p>
    <w:p>
      <w:r>
        <w:rPr>
          <w:color w:val="555555"/>
          <w:sz w:val="17"/>
        </w:rPr>
        <w:t xml:space="preserve">Zitiervorschlag: § 2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