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14b GSGV 11 2016 — Priorisierung der Konformitätsbewertung von als krisenrelevante Waren eingestuften Produkten</w:t>
      </w:r>
    </w:p>
    <w:p>
      <w:r>
        <w:rPr>
          <w:color w:val="555555"/>
          <w:sz w:val="18"/>
        </w:rPr>
        <w:t xml:space="preserve">Explosionsschutzprodukteverordnung</w:t>
      </w:r>
    </w:p>
    <w:p>
      <w:r>
        <w:rPr>
          <w:color w:val="555555"/>
          <w:sz w:val="18"/>
        </w:rPr>
        <w:t xml:space="preserve">Stand: 30.05.2026 (konsolidierte Textfassung, kein amtliches Inkrafttretensdatum)</w:t>
      </w:r>
    </w:p>
    <w:p>
      <w:r>
        <w:t xml:space="preserve">(1) Die notifizierte Stelle soll die Anträge auf Konformitätsbewertung der Produkte, die in dem in § 14a Absatz 1 Nummer 1 genannten Durchführungsrechtsakt aufgeführt sind und die den Konformitätsbewertungsverfahren nach § 13 unterliegen, vorrangig bearbeiten. Dies gilt unabhängig davon, ob ein Antrag vor oder nach der Aktivierung des Notfallmodus nach § 14a Absatz 2 Satz 1 gestellt wurde.</w:t>
      </w:r>
    </w:p>
    <w:p>
      <w:r>
        <w:t xml:space="preserve">(2) Dem antragstellenden Hersteller dürfen durch die Priorisierung von Anträgen auf Konformitätsbewertung nach Absatz 1 keine unverhältnismäßigen zusätzlichen Kosten entstehen.</w:t>
      </w:r>
    </w:p>
    <w:p>
      <w:r>
        <w:t xml:space="preserve">(3) Die notifizierten Stellen haben zumutbare Anstrengungen zu unternehmen, ihre Prüfkapazitäten für die Produkte nach Absatz 1, für die sie notifiziert wurden, zu erhöhen.</w:t>
      </w:r>
    </w:p>
    <w:p>
      <w:r>
        <w:rPr>
          <w:color w:val="555555"/>
          <w:sz w:val="17"/>
        </w:rPr>
        <w:t xml:space="preserve">Zitiervorschlag: § 14b GSGV 11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https://recht.nulegal.eu/gesetze/GSGV%2011%202016/14b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