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14a GSGV 11 2016 — Anwendung der Notfallverfahren</w:t>
      </w:r>
    </w:p>
    <w:p>
      <w:r>
        <w:rPr>
          <w:color w:val="555555"/>
          <w:sz w:val="18"/>
        </w:rPr>
        <w:t xml:space="preserve">Explosionsschutzprodukteverordnung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Die Bestimmungen dieses Abschnitts sind anzuwenden, wenn</w:t>
      </w:r>
    </w:p>
    <w:p>
      <w:pPr>
        <w:ind w:left="420"/>
      </w:pPr>
      <w:r>
        <w:t xml:space="preserve">1. die Europäische Kommission nach Artikel 28 Absatz 1 Satz 1 der Verordnung (EU) 2024/2747 einen Durchführungsrechtsakt in Bezug auf ein Produkt erlassen hat, für das diese Verordnung anzuwenden ist, und</w:t>
      </w:r>
    </w:p>
    <w:p>
      <w:pPr>
        <w:ind w:left="420"/>
      </w:pPr>
      <w:r>
        <w:t xml:space="preserve">2. das Produkt nach Nummer 1 in der Liste krisenrelevanter Waren nach Artikel 18 Absatz 4 Satz 1, auch in Verbindung mit Satz 3, der Verordnung (EU) 2024/2747 enthalten ist.</w:t>
      </w:r>
    </w:p>
    <w:p>
      <w:r>
        <w:t xml:space="preserve">(2) Die Bestimmungen dieses Abschnitts sind nur anzuwenden, während der Notfallmodus für den Binnenmarkt nach Artikel 18 Absatz 4 Satz 1 der Verordnung (EU) 2024/2747 aktiviert ist. § 14d Absatz 3 bleibt unberührt.</w:t>
      </w:r>
    </w:p>
    <w:p>
      <w:r>
        <w:rPr>
          <w:color w:val="555555"/>
          <w:sz w:val="17"/>
        </w:rPr>
        <w:t xml:space="preserve">Zitiervorschlag: § 14a GSGV 11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https://recht.nulegal.eu/gesetze/GSGV%2011%202016/14a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