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GSGV 11 2016 — Besondere Explosionsschutzkennzeichnungen</w:t>
      </w:r>
    </w:p>
    <w:p>
      <w:r>
        <w:rPr>
          <w:color w:val="555555"/>
          <w:sz w:val="18"/>
        </w:rPr>
        <w:t xml:space="preserve">Explosionsschutzprodukteverordnung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(1) Hinter der CE-Kennzeichnung nach § 7 des Produktsicherheitsgesetzes und gegebenenfalls der Kennnummer der notifizierten Stelle stehen</w:t>
      </w:r>
    </w:p>
    <w:p>
      <w:r>
        <w:rPr>
          <w:rFonts w:ascii="Courier New" w:hAnsi="Courier New"/>
          <w:sz w:val="17"/>
        </w:rPr>
        <w:t xml:space="preserve">1.    das spezielle Explosionsschutzkennzeichen [Abbildung], die Kennzeichen, die auf die Gerätegruppe und Gerätekategorie verweisen, zu denen das Produkt gehört, und</w:t>
      </w:r>
    </w:p>
    <w:p>
      <w:r>
        <w:rPr>
          <w:rFonts w:ascii="Courier New" w:hAnsi="Courier New"/>
          <w:sz w:val="17"/>
        </w:rPr>
        <w:t xml:space="preserve">2.    die anderen Kennzeichnungen und Informationen nach Anhang II Nummer 1.0.5 der Richtlinie 2014/34/EU in der Fassung vom 9. Oktober 2024, soweit sie erforderlich sind.</w:t>
      </w:r>
    </w:p>
    <w:p>
      <w:r>
        <w:t xml:space="preserve">(2) Produkte, die zur Verwendung in einer bestimmten explosionsfähigen Atmosphäre konzipiert sind, müssen entsprechend gekennzeichnet werden.</w:t>
      </w:r>
    </w:p>
    <w:p>
      <w:r>
        <w:rPr>
          <w:color w:val="555555"/>
          <w:sz w:val="17"/>
        </w:rPr>
        <w:t xml:space="preserve">Zitiervorschlag: § 14 GSGV 11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https://recht.nulegal.eu/gesetze/GSGV%2011%202016/14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