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GSGV 11 2016 — Einführer oder Händler als Hersteller</w:t>
      </w:r>
    </w:p>
    <w:p>
      <w:r>
        <w:rPr>
          <w:color w:val="555555"/>
          <w:sz w:val="18"/>
        </w:rPr>
        <w:t xml:space="preserve">Explosionsschutzprodukteverordnung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einen Einführer oder einen Händler sind die §§ 5 und 6 entsprechend anzuwenden, wenn er</w:t>
      </w:r>
    </w:p>
    <w:p>
      <w:pPr>
        <w:ind w:left="420"/>
      </w:pPr>
      <w:r>
        <w:t xml:space="preserve">1. ein Produkt unter eigenem Namen oder eigener Handelsmarke in den Verkehr bringt oder</w:t>
      </w:r>
    </w:p>
    <w:p>
      <w:pPr>
        <w:ind w:left="420"/>
      </w:pPr>
      <w:r>
        <w:t xml:space="preserve">2. ein auf dem Markt befindliches Produkt so verändert, dass die Konformität mit den Anforderungen dieser Verordnung beeinträchtigt werden kann.</w:t>
      </w:r>
    </w:p>
    <w:p>
      <w:r>
        <w:rPr>
          <w:color w:val="555555"/>
          <w:sz w:val="17"/>
        </w:rPr>
        <w:t xml:space="preserve">Zitiervorschlag: § 11 GSGV 11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https://recht.nulegal.eu/gesetze/GSGV%2011%202016/11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