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GSGV 11 2016 — Anwendungsbereich</w:t>
      </w:r>
    </w:p>
    <w:p>
      <w:r>
        <w:rPr>
          <w:color w:val="555555"/>
          <w:sz w:val="18"/>
        </w:rPr>
        <w:t xml:space="preserve">Explosionsschutzprodukteverordnung</w:t>
      </w:r>
    </w:p>
    <w:p>
      <w:r>
        <w:rPr>
          <w:color w:val="555555"/>
          <w:sz w:val="18"/>
        </w:rPr>
        <w:t xml:space="preserve">Stand: 10.06.2019 (konsolidierte Textfassung, kein amtliches Inkrafttretensdatum)</w:t>
      </w:r>
    </w:p>
    <w:p>
      <w:r>
        <w:t xml:space="preserve">(1) Diese Verordnung ist auf die folgenden neuen Produkte, die auf dem Markt bereitgestellt, ausgestellt oder erstmals verwendet werden, anzuwenden:</w:t>
      </w:r>
    </w:p>
    <w:p>
      <w:pPr>
        <w:ind w:left="420"/>
      </w:pPr>
      <w:r>
        <w:t xml:space="preserve">1. Geräte und Schutzsysteme, die zur Verwendung in explosionsgefährdeten Bereichen bestimmt sind,</w:t>
      </w:r>
    </w:p>
    <w:p>
      <w:pPr>
        <w:ind w:left="420"/>
      </w:pPr>
      <w:r>
        <w:t xml:space="preserve">2. Sicherheits-, Kontroll- und Regelvorrichtungen, die zur Verwendung außerhalb von explosionsgefährdeten Bereichen bestimmt sind, jedoch im Hinblick auf Explosionsrisiken für den sicheren Betrieb von Geräten und Schutzsystemen erforderlich sind oder zum sicheren Betrieb beitragen, und</w:t>
      </w:r>
    </w:p>
    <w:p>
      <w:pPr>
        <w:ind w:left="420"/>
      </w:pPr>
      <w:r>
        <w:t xml:space="preserve">3. Komponenten, die zum Einbau in die in Nummer 1 genannten Geräte und Schutzsysteme bestimmt sind.</w:t>
      </w:r>
    </w:p>
    <w:p>
      <w:r>
        <w:t xml:space="preserve">(2) Diese Verordnung ist nicht anzuwenden auf</w:t>
      </w:r>
    </w:p>
    <w:p>
      <w:pPr>
        <w:ind w:left="420"/>
      </w:pPr>
      <w:r>
        <w:t xml:space="preserve">1. medizinische Geräte, die zur Verwendung in medizinischen Bereichen bestimmt sind,</w:t>
      </w:r>
    </w:p>
    <w:p>
      <w:pPr>
        <w:ind w:left="420"/>
      </w:pPr>
      <w:r>
        <w:t xml:space="preserve">2. Geräte und Schutzsysteme, bei denen die Explosionsgefahr ausschließlich durch die Anwesenheit von Sprengstoffen oder chemisch instabilen Substanzen hervorgerufen wird,</w:t>
      </w:r>
    </w:p>
    <w:p>
      <w:pPr>
        <w:ind w:left="420"/>
      </w:pPr>
      <w:r>
        <w:t xml:space="preserve">3. Geräte, die zur Verwendung in häuslicher und nichtkommerzieller Umgebung bestimmt sind, in der eine explosionsfähige Atmosphäre nur selten und lediglich infolge eines unbeabsichtigten Brennstoffaustritts gebildet werden kann,</w:t>
      </w:r>
    </w:p>
    <w:p>
      <w:pPr>
        <w:ind w:left="420"/>
      </w:pPr>
      <w:r>
        <w:t xml:space="preserve">4. persönliche Schutzausrüstungen im Sinne der Verordnung über die Bereitstellung von persönlichen Schutzausrüstungen auf dem Markt in der Fassung der Bekanntmachung vom 20. Februar 1997 (BGBl. I S. 316), die zuletzt durch Artikel 16 des Gesetzes vom 8. November 2011 (BGBl. I S. 2178) geändert worden ist,</w:t>
      </w:r>
    </w:p>
    <w:p>
      <w:pPr>
        <w:ind w:left="420"/>
      </w:pPr>
      <w:r>
        <w:t xml:space="preserve">5. Seeschiffe und bewegliche Off-Shore-Anlagen sowie die Ausrüstungen an Bord dieser Schiffe und auf diesen Anlagen,</w:t>
      </w:r>
    </w:p>
    <w:p>
      <w:pPr>
        <w:ind w:left="420"/>
      </w:pPr>
      <w:r>
        <w:t xml:space="preserve">6. Beförderungsmittel, das heißt Fahrzeuge und dazugehörige Anhänger, die ausschließlich für die Beförderung von Personen in der Luft, auf der Straße, auf der Schiene oder auf dem Wasser bestimmt sind, und Beförderungsmittel, soweit sie für den Transport von Gütern in der Luft, auf öffentlichen Straßen und Schienen oder auf dem Wasser konzipiert sind; Fahrzeuge, die in explosionsgefährdeten Bereichen eingesetzt werden sollen, sind nicht vom Geltungsbereich dieser Verordnung ausgenommen,</w:t>
      </w:r>
    </w:p>
    <w:p>
      <w:pPr>
        <w:ind w:left="420"/>
      </w:pPr>
      <w:r>
        <w:t xml:space="preserve">7. Produkte im Sinne des Artikels 346 Absatz 1 Buchstabe b des Vertrages über die Arbeitsweise der Europäischen Union.</w:t>
      </w:r>
    </w:p>
    <w:p>
      <w:r>
        <w:rPr>
          <w:color w:val="555555"/>
          <w:sz w:val="17"/>
        </w:rPr>
        <w:t xml:space="preserve">Zitiervorschlag: § 1 GSGV 11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https://recht.nulegal.eu/gesetze/GSGV%2011%202016/1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