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34 § 3 GSG</w:t>
      </w:r>
    </w:p>
    <w:p>
      <w:r>
        <w:rPr>
          <w:color w:val="555555"/>
          <w:sz w:val="18"/>
        </w:rPr>
        <w:t xml:space="preserve">Gesundheitsstrukturgesetz</w:t>
      </w:r>
    </w:p>
    <w:p>
      <w:r>
        <w:rPr>
          <w:color w:val="555555"/>
          <w:sz w:val="18"/>
        </w:rPr>
        <w:t xml:space="preserve">Stand: 10.06.2019 (konsolidierte Textfassung, kein amtliches Inkrafttretensdatum)</w:t>
      </w:r>
    </w:p>
    <w:p>
      <w:r>
        <w:t xml:space="preserve">(1) Die Satzungen der Spitzenverbände können für das Geschäftsjahr 1993 Bestimmungen über finanzielle Hilfen in besonderen Notlagen einer Krankenkasse ihrer Kassenart vorsehen. Voraussetzung ist, daß der Bedarfssatz dieser Krankenkasse den bundesdurchschnittlichen Bedarfssatz der Kassenart um mehr als 12,5 vom Hundert übersteigt und daß ein Finanzausgleichsverfahren nach § 266 des Fünften Buches Sozialgesetzbuch durchgeführt worden ist. Näheres über Voraussetzungen, Umfang, Finanzierung und Durchführung der finanziellen Hilfen regeln die Satzungen. Die Satzungsbestimmungen bedürfen der Zustimmung von zwei Dritteln der Mitglieder des Spitzenverbands. Eine Krankenkasse kann die Hilfe innerhalb von 60 Kalendermonaten nur einmal erhalten. § 266 Abs. 2 Satz 3 und 4 und § 313 Abs. 10 Buchstabe a des Fünften Buches Sozialgesetzbuch gelten entsprechend.</w:t>
      </w:r>
    </w:p>
    <w:p>
      <w:r>
        <w:t xml:space="preserve">(2) Der Vorstand des Spitzenverbandes entscheidet über die Hilfe auf Antrag des Vorstandes der Krankenkasse nach Anhörung der Mitglieder des Spitzenverbandes. Vor der Entscheidung über die Hilfe hat der Spitzenverband die Ursachen des überdurchschnittlichen Bedarfssatzes nach Absatz 1 gemeinsam mit der Krankenkasse und, wenn die Krankenkasse einem Landesverband angehört, mit dem Landesverband zu untersuchen und Maßnahmen festzulegen, die geeignet sind, die Finanzlage der Krankenkasse zu verbessern. § 266 Abs. 3 Satz 4 bis 6 des Fünften Buches Sozialgesetzbuch gilt entsprechend.</w:t>
      </w:r>
    </w:p>
    <w:p>
      <w:r>
        <w:rPr>
          <w:color w:val="555555"/>
          <w:sz w:val="17"/>
        </w:rPr>
        <w:t xml:space="preserve">Zitiervorschlag: Art 34 § 3 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https://recht.nulegal.eu/gesetze/GSG/34-3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