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GSG — Preismoratorium für Arzneimittel</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Die Herstellerabgabepreise apothekenpflichtiger Fertigarzneimittel, für die die §§ 2 und 3 der Arzneimittelpreisverordnung vom 14. November 1980 (BGBl. I S. 2147) gelten und für die am 1. Januar 1993 kein Festbetrag nach § 35 des Fünften Buches Sozialgesetzbuch festgesetzt ist, betragen in den Jahren 1993 und 1994</w:t>
      </w:r>
    </w:p>
    <w:p>
      <w:pPr>
        <w:ind w:left="420"/>
      </w:pPr>
      <w:r>
        <w:t xml:space="preserve">1. höchstens 95 vom Hundert der am 1. Mai 1992 geltenden Preise bei Fertigarzneimitteln, die der Verschreibungspflicht unterliegen,</w:t>
      </w:r>
    </w:p>
    <w:p>
      <w:pPr>
        <w:ind w:left="420"/>
      </w:pPr>
      <w:r>
        <w:t xml:space="preserve">2. höchstens 98 vom Hundert der am 1. Mai 1992 geltenden Preise bei Fertigarzneimitteln, die nicht der Verschreibungspflicht unterliegen.</w:t>
      </w:r>
    </w:p>
    <w:p>
      <w:r>
        <w:t xml:space="preserve">Die pharmazeutischen Hersteller haben die Preise entsprechend zu senken und rechtzeitig bekanntzugeben. Gibt ein Hersteller die Preise nicht oder nicht rechtzeitig bekannt, gelten die nach Satz 1 Nr. 1 und 2 höchstzulässigen Preise als Herstellerabgabepreise. Die Preise nach Satz 1 Nr. 1 und 2 sind den Großhandelszuschlägen nach § 2 und entsprechend den Apothekenzuschlägen nach § 3 der Arzneimittelpreisverordnung zugrunde zu legen. Die von den Krankenkassen an die Apotheken zu entrichtende Vergütung ist auf dieser Grundlage zu berechnen. Für Arzneimittel, die im Zeitraum vom 2. Mai bis zum 31. Dezember 1992 erstmals in den Markt eingeführt wurden, gelten die Sätze 1 bis 5 mit der Maßgabe, daß die Markteinführungspreise Bezugsgröße für die Preissenkung nach Satz 1 Nr. 1 und 2 sind. Die Preise für Arzneimittel, die nach dem 31. Dezember 1992 erstmals in den Markt eingeführt werden, dürfen in den Jahren 1993 und 1994 nicht erhöht werden. Für Arzneimittel, für die nach dem 31. Dezember 1992 Festbeträge nach § 35 des Fünften Buches Sozialgesetzbuch festgesetzt werden, gelten die Sätze 1 bis 7 ab dem Tag des Inkrafttretens dieser Festbeträge nicht.</w:t>
      </w:r>
    </w:p>
    <w:p>
      <w:r>
        <w:t xml:space="preserve">(2) Der Bundesminister für Gesundheit kann nach einer Überprüfung der Erforderlichkeit der Preisabschläge nach Absatz 1 entsprechend der Richtlinie des Rates der Europäischen Gemeinschaften vom 21. Dezember 1988 betreffend die Transparenz von Maßnahmen zur Regelung der Preisfestsetzung bei Arzneimitteln für den menschlichen Gebrauch und ihre Einbeziehung in die staatlichen Krankenversicherungssysteme (89/105/EWG) die Preisabschläge durch Rechtsverordnung mit Zustimmung des Bundesrates aufheben oder verringern.</w:t>
      </w:r>
    </w:p>
    <w:p>
      <w:r>
        <w:t xml:space="preserve">(3) Absatz 1 gilt nicht für Arzneimittel, die nach § 34 Abs. 3 des Fünften Buches Sozialgesetzbuch von der Versorgung nach § 31 des Fünften Buches Sozialgesetzbuch ausgeschlossen sind.</w:t>
      </w:r>
    </w:p>
    <w:p>
      <w:r>
        <w:rPr>
          <w:color w:val="555555"/>
          <w:sz w:val="17"/>
        </w:rPr>
        <w:t xml:space="preserve">Zitiervorschlag: Art 30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