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GSG — Erweiterung der Versicherungspflicht</w:t>
      </w:r>
    </w:p>
    <w:p>
      <w:r>
        <w:rPr>
          <w:color w:val="555555"/>
          <w:sz w:val="18"/>
        </w:rPr>
        <w:t xml:space="preserve">Gesundheitsstrukturgesetz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Vom 1. Januar 1997 an werden Personen, die laufende Hilfe zum Lebensunterhalt nach dem Bundessozialhilfegesetz erhalten, mit Ausnahme von asylsuchenden Ausländern und ähnlichen Personengruppen in die Versicherungspflicht nach § 5 Abs. 1 des Fünften Buches Sozialgesetzbuch einbezogen.</w:t>
      </w:r>
    </w:p>
    <w:p>
      <w:r>
        <w:t xml:space="preserve">(2) Das Nähere zur Abgrenzung des versicherungspflichtigen Personenkreises, über die Beitragsbemessung und die Meldepflichten wird in einem besonderen Gesetz geregelt.</w:t>
      </w:r>
    </w:p>
    <w:p>
      <w:r>
        <w:rPr>
          <w:color w:val="555555"/>
          <w:sz w:val="17"/>
        </w:rPr>
        <w:t xml:space="preserve">Zitiervorschlag: Art 28 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