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GROVerfV (Brandenburg) — Beschleunigtes Verfahren</w:t>
      </w:r>
    </w:p>
    <w:p>
      <w:r>
        <w:rPr>
          <w:color w:val="555555"/>
          <w:sz w:val="18"/>
        </w:rPr>
        <w:t xml:space="preserve">Gemeinsame Raumordnungsverfahrensverordnung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Bei der Durchführung des beschleunigten Verfahrens nach § 16 Absatz 1 des Raumordnungsgesetzes kann die Gemeinsame Landesplanungsabteilung im Einzelfall auch von Verfahrensschritten nach dieser Verordnung absehen, soweit keine anderen Rechtsvorschriften entgegenstehen.</w:t>
      </w:r>
    </w:p>
    <w:p>
      <w:r>
        <w:rPr>
          <w:color w:val="555555"/>
          <w:sz w:val="17"/>
        </w:rPr>
        <w:t xml:space="preserve">Zitiervorschlag: § 8 GROVerfV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https://recht.nulegal.eu/gesetze/GROVerfV/8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