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GROVerfV (Brandenburg) — Inkrafttreten, Außerkrafttreten</w:t>
      </w:r>
    </w:p>
    <w:p>
      <w:r>
        <w:rPr>
          <w:color w:val="555555"/>
          <w:sz w:val="18"/>
        </w:rPr>
        <w:t xml:space="preserve">Gemeinsame Raumordnungsverfahrensverordnung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 nach der Verkündung in Kraft. Gleichzeitig tritt die Gemeinsame Raumordnungsverfahrensverordnung vom 24. Januar 1996 (GVBl. II S. 82) außer Kraft.</w:t>
      </w:r>
    </w:p>
    <w:p>
      <w:r>
        <w:t xml:space="preserve">Potsdam, den 14. Juli 2010</w:t>
      </w:r>
    </w:p>
    <w:p>
      <w:r>
        <w:t xml:space="preserve">Der Minister für Infrastruktur und Landwirtschaft</w:t>
      </w:r>
    </w:p>
    <w:p>
      <w:r>
        <w:t xml:space="preserve">In Vertretung</w:t>
      </w:r>
    </w:p>
    <w:p>
      <w:r>
        <w:t xml:space="preserve">Rainer Bretschneider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10) - Gebührenverzeichnis 339.4 KB</w:t>
      </w:r>
    </w:p>
    <w:p>
      <w:r>
        <w:rPr>
          <w:color w:val="555555"/>
          <w:sz w:val="17"/>
        </w:rPr>
        <w:t xml:space="preserve">Zitiervorschlag: § 12 GROVerfV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https://recht.nulegal.eu/gesetze/GROVerfV/12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