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GRG — Verweisungen und Bezeichnungen in anderen Vorschriften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Wird in anderen Vorschriften auf Bestimmungen verwiesen oder werden darin Bezeichnungen verwendet, die durch dieses Gesetz geändert oder aufgehoben werden, treten an ihre Stelle die entsprechenden Bestimmungen und Bezeichnungen dieses Gesetzes.</w:t>
      </w:r>
    </w:p>
    <w:p>
      <w:r>
        <w:t xml:space="preserve">(2) Der Bundesminister für Gesundheit wird im Einvernehmen mit den beteiligten Bundesministern den Wortlaut der Bestimmungen und Bezeichnungen bekanntmachen, die nach Maßgabe des Absatzes 1 an die Stelle der bisherigen Bestimmungen und Bezeichnungen treten.</w:t>
      </w:r>
    </w:p>
    <w:p>
      <w:r>
        <w:rPr>
          <w:color w:val="555555"/>
          <w:sz w:val="17"/>
        </w:rPr>
        <w:t xml:space="preserve">Zitiervorschlag: Art 77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