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 76 GRG — Fortführung des Institutionskennzeichens</w:t>
      </w:r>
    </w:p>
    <w:p>
      <w:r>
        <w:rPr>
          <w:color w:val="555555"/>
          <w:sz w:val="18"/>
        </w:rPr>
        <w:t xml:space="preserve">Gesundheits-Reformgesetz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Anstelle einer Vereinbarung nach § 293 Abs. 2 des Fünften Buches Sozialgesetzbuch können sich die Beteiligten auch darauf verständigen, das bisherige Institutionskennzeichen weiter zu verwenden.</w:t>
      </w:r>
    </w:p>
    <w:p>
      <w:r>
        <w:rPr>
          <w:color w:val="555555"/>
          <w:sz w:val="17"/>
        </w:rPr>
        <w:t xml:space="preserve">Zitiervorschlag: Art 76 GRG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https://recht.nulegal.eu/gesetze/GRG/76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