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69 GRG — Landesverbände der Krankenkassen</w:t>
      </w:r>
    </w:p>
    <w:p>
      <w:r>
        <w:rPr>
          <w:color w:val="555555"/>
          <w:sz w:val="18"/>
        </w:rPr>
        <w:t xml:space="preserve">Gesundheits-Reformgesetz</w:t>
      </w:r>
    </w:p>
    <w:p>
      <w:r>
        <w:rPr>
          <w:color w:val="555555"/>
          <w:sz w:val="18"/>
        </w:rPr>
        <w:t xml:space="preserve">Stand: 10.06.2019 (konsolidierte Textfassung, kein amtliches Inkrafttretensdatum)</w:t>
      </w:r>
    </w:p>
    <w:p>
      <w:r>
        <w:t xml:space="preserve">Landesverbände, deren Aufgaben nach § 207 Abs. 4 des Fünften Buches Sozialgesetzbuch künftig von der Krankenkasse wahrgenommen werden, hören mit Ablauf des 31. Dezember 1988 auf zu bestehen. In ihre Rechte und Pflichten tritt am 1. Januar 1989 die Krankenkasse ein.</w:t>
      </w:r>
    </w:p>
    <w:p>
      <w:r>
        <w:rPr>
          <w:color w:val="555555"/>
          <w:sz w:val="17"/>
        </w:rPr>
        <w:t xml:space="preserve">Zitiervorschlag: Art 69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