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67 GRG — Medizinisch-technische Großgeräte</w:t>
      </w:r>
    </w:p>
    <w:p>
      <w:r>
        <w:rPr>
          <w:color w:val="555555"/>
          <w:sz w:val="18"/>
        </w:rPr>
        <w:t xml:space="preserve">Gesundheits-Reformgesetz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medizinisch-technische Großgeräte, die vor dem 1. Januar 1989 angeschafft, genutzt oder mitbenutzt worden sind, gelten § 368n Abs. 8 Satz 3 und 4 der Reichsversicherungsordnung in der am 31. Dezember 1988 geltenden Fassung sowie die auf der Grundlage des § 368 Abs. 1 und 3, des § 368n Abs. 8 und des § 368p Abs. 1 der Reichsversicherungsordnung beschlossenen Richtlinien für den bedarfsgerechten und wirtschaftlichen Einsatz von medizinisch-technischen Großgeräten vom 10. Dezember 1985 (BAnz. Nr. 60a vom 27. März 1986, S. 3) weiter.</w:t>
      </w:r>
    </w:p>
    <w:p>
      <w:r>
        <w:rPr>
          <w:color w:val="555555"/>
          <w:sz w:val="17"/>
        </w:rPr>
        <w:t xml:space="preserve">Zitiervorschlag: Art 67 GRG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https://recht.nulegal.eu/gesetze/GRG/67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