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54 GRCh — Verbot des Missbrauchs der Rechte</w:t>
      </w:r>
    </w:p>
    <w:p>
      <w:r>
        <w:rPr>
          <w:color w:val="555555"/>
          <w:sz w:val="18"/>
        </w:rPr>
        <w:t xml:space="preserve">GRCh</w:t>
      </w:r>
    </w:p>
    <w:p>
      <w:r>
        <w:rPr>
          <w:color w:val="555555"/>
          <w:sz w:val="18"/>
        </w:rPr>
        <w:t xml:space="preserve">Stand: 22.07.2026 (konsolidierte Textfassung, kein amtliches Inkrafttretensdatum)</w:t>
      </w:r>
    </w:p>
    <w:p>
      <w:r>
        <w:t xml:space="preserve">Keine Bestimmung dieser Charta ist so auszulegen, als begründe sie das Recht, eine Tätigkeit auszuüben oder eine Handlung vorzunehmen, die darauf abzielt, die in der Charta anerkannten Rechte und Freiheiten abzuschaffen oder sie stärker einzuschränken, als dies in der Charta vorgesehen ist.</w:t>
      </w:r>
    </w:p>
    <w:p>
      <w:r>
        <w:rPr>
          <w:color w:val="555555"/>
          <w:sz w:val="17"/>
        </w:rPr>
        <w:t xml:space="preserve">Zitiervorschlag: Art 54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