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53 GRCh — Schutzniveau</w:t>
      </w:r>
    </w:p>
    <w:p>
      <w:r>
        <w:rPr>
          <w:color w:val="555555"/>
          <w:sz w:val="18"/>
        </w:rPr>
        <w:t xml:space="preserve">GRCh</w:t>
      </w:r>
    </w:p>
    <w:p>
      <w:r>
        <w:rPr>
          <w:color w:val="555555"/>
          <w:sz w:val="18"/>
        </w:rPr>
        <w:t xml:space="preserve">Stand: 22.07.2026 (konsolidierte Textfassung, kein amtliches Inkrafttretensdatum)</w:t>
      </w:r>
    </w:p>
    <w:p>
      <w:r>
        <w:t xml:space="preserve">Keine Bestimmung dieser Charta ist als eine Einschränkung oder Verletzung der Menschenrechte und Grundfreiheiten auszulegen, die in dem jeweiligen Anwendungsbereich durch das Recht der Union und das Völkerrecht sowie durch die internationalen Übereinkünfte, bei denen die Union oder alle Mitgliedstaaten Vertragsparteien sind, darunter insbesondere die Europäische Konvention zum Schutz der Menschenrechte und Grundfreiheiten, sowie durch die Verfassungen der Mitgliedstaaten anerkannt werden.</w:t>
      </w:r>
    </w:p>
    <w:p>
      <w:r>
        <w:rPr>
          <w:color w:val="555555"/>
          <w:sz w:val="17"/>
        </w:rPr>
        <w:t xml:space="preserve">Zitiervorschlag: Art 53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