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49 GRCh — Grundsätze der Gesetzmäßigkeit und der Verhältnismäßigkeit im Zusammenhang mit Straftaten und Strafen</w:t>
      </w:r>
    </w:p>
    <w:p>
      <w:r>
        <w:rPr>
          <w:color w:val="555555"/>
          <w:sz w:val="18"/>
        </w:rPr>
        <w:t xml:space="preserve">GRCh</w:t>
      </w:r>
    </w:p>
    <w:p>
      <w:r>
        <w:rPr>
          <w:color w:val="555555"/>
          <w:sz w:val="18"/>
        </w:rPr>
        <w:t xml:space="preserve">Stand: 22.07.2026 (konsolidierte Textfassung, kein amtliches Inkrafttretensdatum)</w:t>
      </w:r>
    </w:p>
    <w:p>
      <w:r>
        <w:t xml:space="preserve">(1) Niemand darf wegen einer Handlung oder Unterlassung verurteilt werden, die zur Zeit ihrer Begehung nach innerstaatlichem oder internationalem Recht nicht strafbar war. Es darf auch keine schwerere Strafe als die zur Zeit der Begehung angedrohte Strafe verhängt werden. Wird nach Begehung einer Straftat durch Gesetz eine mildere Strafe eingeführt, so ist diese zu verhängen.</w:t>
      </w:r>
    </w:p>
    <w:p>
      <w:r>
        <w:t xml:space="preserve">(2) Dieser Artikel schließt nicht aus, dass eine Person wegen einer Handlung oder Unterlassung verurteilt oder bestraft wird, die zur Zeit ihrer Begehung nach den allgemeinen, von der Gesamtheit der Nationen anerkannten Grundsätzen strafbar war.</w:t>
      </w:r>
    </w:p>
    <w:p>
      <w:r>
        <w:t xml:space="preserve">(3) Das Strafmaß darf zur Straftat nicht unverhältnismäßig sein.</w:t>
      </w:r>
    </w:p>
    <w:p>
      <w:r>
        <w:rPr>
          <w:color w:val="555555"/>
          <w:sz w:val="17"/>
        </w:rPr>
        <w:t xml:space="preserve">Zitiervorschlag: Art 49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