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48 GRCh — Unschuldsvermutung und Verteidigungsrechte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Jeder Angeklagte gilt bis zum rechtsförmlich erbrachten Beweis seiner Schuld als unschuldig.</w:t>
      </w:r>
    </w:p>
    <w:p>
      <w:r>
        <w:t xml:space="preserve">(2) Jedem Angeklagten wird die Achtung der Verteidigungsrechte gewährleistet.</w:t>
      </w:r>
    </w:p>
    <w:p>
      <w:r>
        <w:rPr>
          <w:color w:val="555555"/>
          <w:sz w:val="17"/>
        </w:rPr>
        <w:t xml:space="preserve">Zitiervorschlag: Art 48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