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GRCh — Diplomatischer und konsularischer Schutz</w:t>
      </w:r>
    </w:p>
    <w:p>
      <w:r>
        <w:rPr>
          <w:color w:val="555555"/>
          <w:sz w:val="18"/>
        </w:rPr>
        <w:t xml:space="preserve">GRCh</w:t>
      </w:r>
    </w:p>
    <w:p>
      <w:r>
        <w:rPr>
          <w:color w:val="555555"/>
          <w:sz w:val="18"/>
        </w:rPr>
        <w:t xml:space="preserve">Stand: 22.07.2026 (konsolidierte Textfassung, kein amtliches Inkrafttretensdatum)</w:t>
      </w:r>
    </w:p>
    <w:p>
      <w:r>
        <w:t xml:space="preserve">Die Unionsbürgerinnen und Unionsbürger genießen im Hoheitsgebiet eines Drittlands, in dem der Mitgliedstaat, dessen Staatsangehörigkeit sie besitzen, nicht vertreten ist, den Schutz durch die diplomatischen und konsularischen Behörden eines jeden Mitgliedstaats unter denselben Bedingungen wie Staatsangehörige dieses Staates.</w:t>
      </w:r>
    </w:p>
    <w:p>
      <w:r>
        <w:rPr>
          <w:color w:val="555555"/>
          <w:sz w:val="17"/>
        </w:rPr>
        <w:t xml:space="preserve">Zitiervorschlag: Art 46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https://recht.nulegal.eu/gesetze/GRCh/46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