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GRCh — Freizügigkeit und Aufenthaltsfreiheit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Unionsbürgerinnen und Unionsbürger haben das Recht, sich im Hoheitsgebiet der Mitgliedstaaten frei zu bewegen und aufzuhalten.</w:t>
      </w:r>
    </w:p>
    <w:p>
      <w:r>
        <w:t xml:space="preserve">(2) Staatsangehörigen von Drittländern, die sich rechtmäßig im Hoheitsgebiet eines Mitgliedstaats aufhalten, kann nach Maßgabe der Verträge Freizügigkeit und Aufenthaltsfreiheit gewährt werden.</w:t>
      </w:r>
    </w:p>
    <w:p>
      <w:r>
        <w:rPr>
          <w:color w:val="555555"/>
          <w:sz w:val="17"/>
        </w:rPr>
        <w:t xml:space="preserve">Zitiervorschlag: Art 45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https://recht.nulegal.eu/gesetze/GRCh/45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