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42 GRCh — Recht auf Zugang zu Dokumenten</w:t>
      </w:r>
    </w:p>
    <w:p>
      <w:r>
        <w:rPr>
          <w:color w:val="555555"/>
          <w:sz w:val="18"/>
        </w:rPr>
        <w:t xml:space="preserve">GRCh</w:t>
      </w:r>
    </w:p>
    <w:p>
      <w:r>
        <w:rPr>
          <w:color w:val="555555"/>
          <w:sz w:val="18"/>
        </w:rPr>
        <w:t xml:space="preserve">Stand: 22.07.2026 (konsolidierte Textfassung, kein amtliches Inkrafttretensdatum)</w:t>
      </w:r>
    </w:p>
    <w:p>
      <w:r>
        <w:t xml:space="preserve">Die Unionsbürgerinnen und Unionsbürger sowie jede natürliche oder juristische Person mit Wohnsitz oder satzungsmäßigem Sitz in einem Mitgliedstaat haben das Recht auf Zugang zu den Dokumenten der Organe, Einrichtungen und sonstigen Stellen der Union, unabhängig von der Form der für diese Dokumente verwendeten Träger.</w:t>
      </w:r>
    </w:p>
    <w:p>
      <w:r>
        <w:rPr>
          <w:color w:val="555555"/>
          <w:sz w:val="17"/>
        </w:rPr>
        <w:t xml:space="preserve">Zitiervorschlag: Art 42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