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GRCh — Zugang zu Dienstleistungen von allgemeinem wirtschaftlichen Interesse</w:t>
      </w:r>
    </w:p>
    <w:p>
      <w:r>
        <w:rPr>
          <w:color w:val="555555"/>
          <w:sz w:val="18"/>
        </w:rPr>
        <w:t xml:space="preserve">GRCh</w:t>
      </w:r>
    </w:p>
    <w:p>
      <w:r>
        <w:rPr>
          <w:color w:val="555555"/>
          <w:sz w:val="18"/>
        </w:rPr>
        <w:t xml:space="preserve">Stand: 22.07.2026 (konsolidierte Textfassung, kein amtliches Inkrafttretensdatum)</w:t>
      </w:r>
    </w:p>
    <w:p>
      <w:r>
        <w:t xml:space="preserve">Die Union anerkennt und achtet den Zugang zu Dienstleistungen von allgemeinem wirtschaftlichen Interesse, wie er durch die einzelstaatlichen Rechtsvorschriften und Gepflogenheiten im Einklang mit den Verträgen geregelt ist, um den sozialen und territorialen Zusammenhalt der Union zu fördern.</w:t>
      </w:r>
    </w:p>
    <w:p>
      <w:r>
        <w:rPr>
          <w:color w:val="555555"/>
          <w:sz w:val="17"/>
        </w:rPr>
        <w:t xml:space="preserve">Zitiervorschlag: Art 36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https://recht.nulegal.eu/gesetze/GRCh/36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