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GRCh — Gesundheitsschutz</w:t>
      </w:r>
    </w:p>
    <w:p>
      <w:r>
        <w:rPr>
          <w:color w:val="555555"/>
          <w:sz w:val="18"/>
        </w:rPr>
        <w:t xml:space="preserve">GRCh</w:t>
      </w:r>
    </w:p>
    <w:p>
      <w:r>
        <w:rPr>
          <w:color w:val="555555"/>
          <w:sz w:val="18"/>
        </w:rPr>
        <w:t xml:space="preserve">Stand: 22.07.2026 (konsolidierte Textfassung, kein amtliches Inkrafttretensdatum)</w:t>
      </w:r>
    </w:p>
    <w:p>
      <w:r>
        <w:t xml:space="preserve">Jeder Mensch hat das Recht auf Zugang zur Gesundheitsvorsorge und auf ärztliche Versorgung nach Maßgabe der einzelstaatlichen Rechtsvorschriften und Gepflogenheiten. Bei der Festlegung und Durchführung der Politik und Maßnahmen der Union in allen Bereichen wird ein hohes Gesundheitsschutzniveau sichergestellt.</w:t>
      </w:r>
    </w:p>
    <w:p>
      <w:r>
        <w:rPr>
          <w:color w:val="555555"/>
          <w:sz w:val="17"/>
        </w:rPr>
        <w:t xml:space="preserve">Zitiervorschlag: Art 35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https://recht.nulegal.eu/gesetze/GRCh/35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