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GRCh — Gerechte und angemessene Arbeitsbedingungen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 Arbeitnehmerin und jeder Arbeitnehmer hat das Recht auf gesunde, sichere und würdige Arbeitsbedingungen.</w:t>
      </w:r>
    </w:p>
    <w:p>
      <w:r>
        <w:t xml:space="preserve">(2) Jede Arbeitnehmerin und jeder Arbeitnehmer hat das Recht auf eine Begrenzung der Höchstarbeitszeit, auf tägliche und wöchentliche Ruhezeiten sowie auf bezahlten Jahresurlaub.</w:t>
      </w:r>
    </w:p>
    <w:p>
      <w:r>
        <w:rPr>
          <w:color w:val="555555"/>
          <w:sz w:val="17"/>
        </w:rPr>
        <w:t xml:space="preserve">Zitiervorschlag: Art 31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https://recht.nulegal.eu/gesetze/GRCh/31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