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GRCh — Recht auf Kollektivverhandlungen und Kollektivmaßnahmen</w:t>
      </w:r>
    </w:p>
    <w:p>
      <w:r>
        <w:rPr>
          <w:color w:val="555555"/>
          <w:sz w:val="18"/>
        </w:rPr>
        <w:t xml:space="preserve">GRCh</w:t>
      </w:r>
    </w:p>
    <w:p>
      <w:r>
        <w:rPr>
          <w:color w:val="555555"/>
          <w:sz w:val="18"/>
        </w:rPr>
        <w:t xml:space="preserve">Stand: 22.07.2026 (konsolidierte Textfassung, kein amtliches Inkrafttretensdatum)</w:t>
      </w:r>
    </w:p>
    <w:p>
      <w:r>
        <w:t xml:space="preserve">Die Arbeitnehmerinnen und Arbeitnehmer sowie die Arbeitgeberinnen und Arbeitgeber oder ihre jeweiligen Organisationen haben nach dem Unionsrecht und den einzelstaatlichen Rechtsvorschriften und Gepflogenheiten das Recht, Tarifverträge auf den geeigneten Ebenen auszuhandeln und zu schließen sowie bei Interessenkonflikten kollektive Maßnahmen zur Verteidigung ihrer Interessen, einschließlich Streiks, zu ergreifen.</w:t>
      </w:r>
    </w:p>
    <w:p>
      <w:r>
        <w:rPr>
          <w:color w:val="555555"/>
          <w:sz w:val="17"/>
        </w:rPr>
        <w:t xml:space="preserve">Zitiervorschlag: Art 28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