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GRCh — Recht auf Unterrichtung und Anhörung der Arbeitnehmerinnen und Arbeitnehmer im Unternehmen</w:t>
      </w:r>
    </w:p>
    <w:p>
      <w:r>
        <w:rPr>
          <w:color w:val="555555"/>
          <w:sz w:val="18"/>
        </w:rPr>
        <w:t xml:space="preserve">GRCh</w:t>
      </w:r>
    </w:p>
    <w:p>
      <w:r>
        <w:rPr>
          <w:color w:val="555555"/>
          <w:sz w:val="18"/>
        </w:rPr>
        <w:t xml:space="preserve">Stand: 22.07.2026 (konsolidierte Textfassung, kein amtliches Inkrafttretensdatum)</w:t>
      </w:r>
    </w:p>
    <w:p>
      <w:r>
        <w:t xml:space="preserve">Für die Arbeitnehmerinnen und Arbeitnehmer oder ihre Vertreter muss auf den geeigneten Ebenen eine rechtzeitige Unterrichtung und Anhörung in den Fällen und unter den Voraussetzungen gewährleistet sein, die nach dem Unionsrecht und den einzelstaatlichen Rechtsvorschriften und Gepflogenheiten vorgesehen sind.</w:t>
      </w:r>
    </w:p>
    <w:p>
      <w:r>
        <w:rPr>
          <w:color w:val="555555"/>
          <w:sz w:val="17"/>
        </w:rPr>
        <w:t xml:space="preserve">Zitiervorschlag: Art 27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https://recht.nulegal.eu/gesetze/GRCh/27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