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GRCh — Gleichheit von Frauen und Männern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Gleichheit von Frauen und Männern ist in allen Bereichen, einschließlich der Beschäftigung, der Arbeit und des Arbeitsentgelts, sicherzustellen.</w:t>
      </w:r>
    </w:p>
    <w:p>
      <w:r>
        <w:t xml:space="preserve">Der Grundsatz der Gleichheit steht der Beibehaltung oder der Einführung spezifischer Vergünstigungen für das unterrepräsentierte Geschlecht nicht entgegen.</w:t>
      </w:r>
    </w:p>
    <w:p>
      <w:r>
        <w:rPr>
          <w:color w:val="555555"/>
          <w:sz w:val="17"/>
        </w:rPr>
        <w:t xml:space="preserve">Zitiervorschlag: Art 23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https://recht.nulegal.eu/gesetze/GRCh/23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