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 GRCh — Recht auf Leben</w:t>
      </w:r>
    </w:p>
    <w:p>
      <w:r>
        <w:rPr>
          <w:color w:val="555555"/>
          <w:sz w:val="18"/>
        </w:rPr>
        <w:t xml:space="preserve">GRCh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Jeder Mensch hat das Recht auf Leben.</w:t>
      </w:r>
    </w:p>
    <w:p>
      <w:r>
        <w:t xml:space="preserve">(2) Niemand darf zur Todesstrafe verurteilt oder hingerichtet werden.</w:t>
      </w:r>
    </w:p>
    <w:p>
      <w:r>
        <w:rPr>
          <w:color w:val="555555"/>
          <w:sz w:val="17"/>
        </w:rPr>
        <w:t xml:space="preserve">Zitiervorschlag: Art 2 GRCh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https://recht.nulegal.eu/gesetze/GRCh/2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