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18 GRCh — Asylrecht</w:t>
      </w:r>
    </w:p>
    <w:p>
      <w:r>
        <w:rPr>
          <w:color w:val="555555"/>
          <w:sz w:val="18"/>
        </w:rPr>
        <w:t xml:space="preserve">GRCh</w:t>
      </w:r>
    </w:p>
    <w:p>
      <w:r>
        <w:rPr>
          <w:color w:val="555555"/>
          <w:sz w:val="18"/>
        </w:rPr>
        <w:t xml:space="preserve">Stand: 22.07.2026 (konsolidierte Textfassung, kein amtliches Inkrafttretensdatum)</w:t>
      </w:r>
    </w:p>
    <w:p>
      <w:r>
        <w:t xml:space="preserve">Das Recht auf Asyl wird nach Maßgabe des Genfer Abkommens vom 28. Juli 1951 und des Protokolls vom 31. Januar 1967 über die Rechtsstellung der Flüchtlinge sowie nach Maßgabe des Vertrags über die Europäische Union und des Vertrags über die Arbeitsweise der Europäischen Union (im Folgenden „die Verträge“) gewährleistet.</w:t>
      </w:r>
    </w:p>
    <w:p>
      <w:r>
        <w:rPr>
          <w:color w:val="555555"/>
          <w:sz w:val="17"/>
        </w:rPr>
        <w:t xml:space="preserve">Zitiervorschlag: Art 18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