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GRCh — Berufsfreiheit und Recht zu arbeiten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Jede Person hat das Recht, zu arbeiten und einen frei gewählten oder angenommenen Beruf auszuüben.</w:t>
      </w:r>
    </w:p>
    <w:p>
      <w:r>
        <w:t xml:space="preserve">(2) Alle Unionsbürgerinnen und Unionsbürger haben die Freiheit, in jedem Mitgliedstaat Arbeit zu suchen, zu arbeiten, sich niederzulassen oder Dienstleistungen zu erbringen.</w:t>
      </w:r>
    </w:p>
    <w:p>
      <w:r>
        <w:t xml:space="preserve">(3) Die Staatsangehörigen dritter Länder, die im Hoheitsgebiet der Mitgliedstaaten arbeiten dürfen, haben Anspruch auf Arbeitsbedingungen, die denen der Unionsbürgerinnen und Unionsbürger entsprechen.</w:t>
      </w:r>
    </w:p>
    <w:p>
      <w:r>
        <w:rPr>
          <w:color w:val="555555"/>
          <w:sz w:val="17"/>
        </w:rPr>
        <w:t xml:space="preserve">Zitiervorschlag: Art 15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https://recht.nulegal.eu/gesetze/GRCh/15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