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GRCh — Recht auf Bildung</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auf Bildung sowie auf Zugang zur beruflichen Ausbildung und Weiterbildung.</w:t>
      </w:r>
    </w:p>
    <w:p>
      <w:r>
        <w:t xml:space="preserve">(2) Dieses Recht umfasst die Möglichkeit, unentgeltlich am Pflichtschulunterricht teilzunehmen.</w:t>
      </w:r>
    </w:p>
    <w:p>
      <w:r>
        <w:t xml:space="preserve">(3) Die Freiheit zur Gründung von Lehranstalten unter Achtung der demokratischen Grundsätze sowie das Recht der Eltern, die Erziehung und den Unterricht ihrer Kinder entsprechend ihren eigenen religiösen, weltanschaulichen und erzieherischen Überzeugungen sicherzustellen, werden nach den einzelstaatlichen Gesetzen geachtet, welche ihre Ausübung regeln.</w:t>
      </w:r>
    </w:p>
    <w:p>
      <w:r>
        <w:rPr>
          <w:color w:val="555555"/>
          <w:sz w:val="17"/>
        </w:rPr>
        <w:t xml:space="preserve">Zitiervorschlag: Art 14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