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GPrüfbV</w:t>
      </w:r>
    </w:p>
    <w:p>
      <w:r>
        <w:rPr>
          <w:color w:val="555555"/>
          <w:sz w:val="18"/>
        </w:rPr>
        <w:t xml:space="preserve">Gegenpartei-Prüfbescheinigungsverordnung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Grund des § 20 Absatz 6 des Wertpapierhandelsgesetzes, der durch Artikel 2 Nummer 2 des Gesetzes vom 13. Februar 2013 (BGBl. I S. 174) neu gefasst worden ist, in Verbindung mit § 1 Nummer 1 der Verordnung zur Übertragung von Befugnissen zum Erlass von Rechtsverordnungen auf die Bundesanstalt für Finanzdienstleistungsaufsicht, der zuletzt durch Artikel 1 der Verordnung vom 12. September 2013 (BGBl. I S. 3606) geändert worden ist, und in Verbindung mit § 1 Absatz 2 des Zuständigkeitsanpassungsgesetzes vom 16. August 2002 (BGBl. I S. 3165) und dem Organisationserlass vom 17. Dezember 2013 (BGBl. I S. 4310) verordnet die Bundesanstalt für Finanzdienstleistungsaufsicht im Einvernehmen mit dem Bundesministerium der Justiz und für Verbraucherschutz:</w:t>
      </w:r>
    </w:p>
    <w:p>
      <w:r>
        <w:rPr>
          <w:color w:val="555555"/>
          <w:sz w:val="17"/>
        </w:rPr>
        <w:t xml:space="preserve">Zitiervorschlag: Eingangsformel GPrüfbV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https://recht.nulegal.eu/gesetze/GPr%C3%BCfbV/eingangsformel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