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GPrüfbV — Unterrichtungspflichten des Prüfers bei Behinderung der Prüfung</w:t>
      </w:r>
    </w:p>
    <w:p>
      <w:r>
        <w:rPr>
          <w:color w:val="555555"/>
          <w:sz w:val="18"/>
        </w:rPr>
        <w:t xml:space="preserve">Gegenpartei-Prüfbescheinigungsverordnung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Prüfer unterrichtet die Bundesanstalt unverzüglich, wenn sich die prüfpflichtige nichtfinanzielle Gegenpartei weigert, die Prüfung vornehmen zu lassen, oder wenn sie die Durchführung der Prüfung behindert.</w:t>
      </w:r>
    </w:p>
    <w:p>
      <w:r>
        <w:rPr>
          <w:color w:val="555555"/>
          <w:sz w:val="17"/>
        </w:rPr>
        <w:t xml:space="preserve">Zitiervorschlag: § 7 GPrüfbV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https://recht.nulegal.eu/gesetze/GPr%C3%BCfbV/7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