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GPrüfbV — Prüfungszeitraum</w:t>
      </w:r>
    </w:p>
    <w:p>
      <w:r>
        <w:rPr>
          <w:color w:val="555555"/>
          <w:sz w:val="18"/>
        </w:rPr>
        <w:t xml:space="preserve">Gegenpartei-Prüfbescheinigungsverordnung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Prüfer bestimmt den Zeitpunkt des Prüfungsbeginns. Der Prüfungszeitraum beginnt mit dem Tag der ersten und endet mit dem Tag der letzten Prüfungshandlung vor Ort.</w:t>
      </w:r>
    </w:p>
    <w:p>
      <w:r>
        <w:t xml:space="preserve">(2) Der Prüfer hat die Prüfung innerhalb von neun Monaten nach Ende des prüfpflichtigen Zeitraums abzuschließen.</w:t>
      </w:r>
    </w:p>
    <w:p>
      <w:r>
        <w:rPr>
          <w:color w:val="555555"/>
          <w:sz w:val="17"/>
        </w:rPr>
        <w:t xml:space="preserve">Zitiervorschlag: § 6 GPrüfbV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https://recht.nulegal.eu/gesetze/GPr%C3%BCfbV/6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