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GPrüfbV — Prüfpflichtiger Zeitraum</w:t>
      </w:r>
    </w:p>
    <w:p>
      <w:r>
        <w:rPr>
          <w:color w:val="555555"/>
          <w:sz w:val="18"/>
        </w:rPr>
        <w:t xml:space="preserve">Gegenpartei-Prüfbescheinigungsverordnung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prüfpflichtige Zeitraum, auf den sich die Prüfung erstreckt, ist vorbehaltlich des § 10 das am Stichtag des Jahresabschlusses endende Geschäftsjahr.</w:t>
      </w:r>
    </w:p>
    <w:p>
      <w:r>
        <w:rPr>
          <w:color w:val="555555"/>
          <w:sz w:val="17"/>
        </w:rPr>
        <w:t xml:space="preserve">Zitiervorschlag: § 4 GPrüfbV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https://recht.nulegal.eu/gesetze/GPr%C3%BCfbV/4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